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5F4A6" w14:textId="77777777" w:rsidR="00425683" w:rsidRPr="00425683" w:rsidRDefault="00425683" w:rsidP="00425683">
      <w:pPr>
        <w:jc w:val="center"/>
        <w:rPr>
          <w:b/>
          <w:bCs/>
        </w:rPr>
      </w:pPr>
      <w:r w:rsidRPr="00425683">
        <w:rPr>
          <w:b/>
          <w:bCs/>
        </w:rPr>
        <w:t>DOCUMENTO DE RETRIBUCIONES PROPORCIONALES</w:t>
      </w:r>
    </w:p>
    <w:p w14:paraId="63075ED1" w14:textId="77777777" w:rsidR="00425683" w:rsidRPr="00425683" w:rsidRDefault="00425683" w:rsidP="00425683">
      <w:pPr>
        <w:jc w:val="center"/>
      </w:pPr>
      <w:r w:rsidRPr="00425683">
        <w:t>Y DECLARACIÓN DE CONFORMIDAD CON RGPD**</w:t>
      </w:r>
    </w:p>
    <w:p w14:paraId="2CCD61F3" w14:textId="77777777" w:rsidR="00425683" w:rsidRPr="00425683" w:rsidRDefault="00425683" w:rsidP="00425683">
      <w:r w:rsidRPr="00425683">
        <w:rPr>
          <w:b/>
          <w:bCs/>
        </w:rPr>
        <w:t>ANARGO 2002, SOCIEDAD LIMITADA</w:t>
      </w:r>
      <w:r w:rsidRPr="00425683">
        <w:br/>
      </w:r>
      <w:r w:rsidRPr="00425683">
        <w:rPr>
          <w:b/>
          <w:bCs/>
        </w:rPr>
        <w:t>NIF:</w:t>
      </w:r>
      <w:r w:rsidRPr="00425683">
        <w:t xml:space="preserve"> B35710805</w:t>
      </w:r>
      <w:r w:rsidRPr="00425683">
        <w:br/>
      </w:r>
      <w:r w:rsidRPr="00425683">
        <w:rPr>
          <w:b/>
          <w:bCs/>
        </w:rPr>
        <w:t>Ejercicio de Referencia:</w:t>
      </w:r>
      <w:r w:rsidRPr="00425683">
        <w:t xml:space="preserve"> 2024 y 2023</w:t>
      </w:r>
    </w:p>
    <w:p w14:paraId="790CCC25" w14:textId="5CDCB4AE" w:rsidR="00425683" w:rsidRPr="00425683" w:rsidRDefault="00425683" w:rsidP="00425683">
      <w:pPr>
        <w:jc w:val="both"/>
      </w:pPr>
      <w:r w:rsidRPr="00425683">
        <w:t xml:space="preserve">En cumplimiento de las obligaciones de transparencia (Art. 18.1.a de la Ley 12/2014, de 26 de diciembre, de transparencia y acceso a la información pública) y de la normativa en materia de protección de datos (Reglamento (UE) 2016/679 – RGPD), la información retributiva se presenta de forma </w:t>
      </w:r>
      <w:r w:rsidRPr="00425683">
        <w:rPr>
          <w:b/>
          <w:bCs/>
        </w:rPr>
        <w:t>proporcional, agregada y anonimizada</w:t>
      </w:r>
      <w:r w:rsidRPr="00425683">
        <w:t>, garantizando la protección de la identidad individual de las personas trabajadoras.</w:t>
      </w:r>
    </w:p>
    <w:p w14:paraId="7B00A039" w14:textId="77777777" w:rsidR="00425683" w:rsidRPr="00425683" w:rsidRDefault="00425683" w:rsidP="00425683">
      <w:pPr>
        <w:rPr>
          <w:b/>
          <w:bCs/>
        </w:rPr>
      </w:pPr>
      <w:r w:rsidRPr="00425683">
        <w:rPr>
          <w:b/>
          <w:bCs/>
        </w:rPr>
        <w:t>I. RETRIBUCIONES DEL PERSONAL EMPLEADO (EXCLUIDA LA ADMINISTRACIÓN)</w:t>
      </w:r>
    </w:p>
    <w:p w14:paraId="620FA36A" w14:textId="77777777" w:rsidR="00425683" w:rsidRPr="00425683" w:rsidRDefault="00425683" w:rsidP="00425683">
      <w:pPr>
        <w:jc w:val="both"/>
      </w:pPr>
      <w:r w:rsidRPr="00425683">
        <w:t xml:space="preserve">Las retribuciones del personal de la sociedad se ajustan íntegramente al marco legal aplicable, conforme al </w:t>
      </w:r>
      <w:r w:rsidRPr="00425683">
        <w:rPr>
          <w:b/>
          <w:bCs/>
        </w:rPr>
        <w:t>Convenio Colectivo Estatal de Estaciones de Servicio (Código 99001995011981)</w:t>
      </w:r>
      <w:r w:rsidRPr="00425683">
        <w:t>, vigente para los ejercicios 2023 y 2024.</w:t>
      </w:r>
    </w:p>
    <w:tbl>
      <w:tblPr>
        <w:tblStyle w:val="Tablaconcuadrcula"/>
        <w:tblW w:w="0" w:type="auto"/>
        <w:tblLook w:val="04A0" w:firstRow="1" w:lastRow="0" w:firstColumn="1" w:lastColumn="0" w:noHBand="0" w:noVBand="1"/>
      </w:tblPr>
      <w:tblGrid>
        <w:gridCol w:w="2513"/>
        <w:gridCol w:w="3542"/>
        <w:gridCol w:w="2439"/>
      </w:tblGrid>
      <w:tr w:rsidR="00425683" w:rsidRPr="00425683" w14:paraId="12FAC53A" w14:textId="77777777" w:rsidTr="00425683">
        <w:tc>
          <w:tcPr>
            <w:tcW w:w="0" w:type="auto"/>
            <w:hideMark/>
          </w:tcPr>
          <w:p w14:paraId="0CFD0B54" w14:textId="77777777" w:rsidR="00425683" w:rsidRPr="00425683" w:rsidRDefault="00425683" w:rsidP="00425683">
            <w:pPr>
              <w:spacing w:after="160" w:line="278" w:lineRule="auto"/>
              <w:rPr>
                <w:b/>
                <w:bCs/>
              </w:rPr>
            </w:pPr>
            <w:r w:rsidRPr="00425683">
              <w:rPr>
                <w:b/>
                <w:bCs/>
              </w:rPr>
              <w:t>Categoría de Personal</w:t>
            </w:r>
          </w:p>
        </w:tc>
        <w:tc>
          <w:tcPr>
            <w:tcW w:w="0" w:type="auto"/>
            <w:hideMark/>
          </w:tcPr>
          <w:p w14:paraId="62A8459E" w14:textId="77777777" w:rsidR="00425683" w:rsidRPr="00425683" w:rsidRDefault="00425683" w:rsidP="00425683">
            <w:pPr>
              <w:spacing w:after="160" w:line="278" w:lineRule="auto"/>
              <w:rPr>
                <w:b/>
                <w:bCs/>
              </w:rPr>
            </w:pPr>
            <w:r w:rsidRPr="00425683">
              <w:rPr>
                <w:b/>
                <w:bCs/>
              </w:rPr>
              <w:t>Marco Legal Aplicable</w:t>
            </w:r>
          </w:p>
        </w:tc>
        <w:tc>
          <w:tcPr>
            <w:tcW w:w="0" w:type="auto"/>
            <w:hideMark/>
          </w:tcPr>
          <w:p w14:paraId="6C83AFC3" w14:textId="77777777" w:rsidR="00425683" w:rsidRPr="00425683" w:rsidRDefault="00425683" w:rsidP="00425683">
            <w:pPr>
              <w:spacing w:after="160" w:line="278" w:lineRule="auto"/>
              <w:rPr>
                <w:b/>
                <w:bCs/>
              </w:rPr>
            </w:pPr>
            <w:r w:rsidRPr="00425683">
              <w:rPr>
                <w:b/>
                <w:bCs/>
              </w:rPr>
              <w:t>Rango Salarial Anual Bruto (Agregado / Referencia)</w:t>
            </w:r>
          </w:p>
        </w:tc>
      </w:tr>
      <w:tr w:rsidR="00425683" w:rsidRPr="00425683" w14:paraId="3AE0C21A" w14:textId="77777777" w:rsidTr="00425683">
        <w:tc>
          <w:tcPr>
            <w:tcW w:w="0" w:type="auto"/>
            <w:hideMark/>
          </w:tcPr>
          <w:p w14:paraId="396CFF70" w14:textId="77777777" w:rsidR="00425683" w:rsidRPr="00425683" w:rsidRDefault="00425683" w:rsidP="00425683">
            <w:pPr>
              <w:spacing w:after="160" w:line="278" w:lineRule="auto"/>
            </w:pPr>
            <w:r w:rsidRPr="00425683">
              <w:rPr>
                <w:b/>
                <w:bCs/>
              </w:rPr>
              <w:t>Personal Operativo y de Servicio</w:t>
            </w:r>
          </w:p>
        </w:tc>
        <w:tc>
          <w:tcPr>
            <w:tcW w:w="0" w:type="auto"/>
            <w:hideMark/>
          </w:tcPr>
          <w:p w14:paraId="25903C76" w14:textId="77777777" w:rsidR="00425683" w:rsidRPr="00425683" w:rsidRDefault="00425683" w:rsidP="00425683">
            <w:pPr>
              <w:spacing w:after="160" w:line="278" w:lineRule="auto"/>
            </w:pPr>
            <w:r w:rsidRPr="00425683">
              <w:t>Convenio Colectivo Estatal de Estaciones de Servicio (Código 99001995011981)</w:t>
            </w:r>
          </w:p>
        </w:tc>
        <w:tc>
          <w:tcPr>
            <w:tcW w:w="0" w:type="auto"/>
            <w:hideMark/>
          </w:tcPr>
          <w:p w14:paraId="296C4D5D" w14:textId="77777777" w:rsidR="00425683" w:rsidRPr="00425683" w:rsidRDefault="00425683" w:rsidP="00425683">
            <w:pPr>
              <w:spacing w:after="160" w:line="278" w:lineRule="auto"/>
            </w:pPr>
            <w:r w:rsidRPr="00425683">
              <w:rPr>
                <w:b/>
                <w:bCs/>
              </w:rPr>
              <w:t>16.000 € – 23.000 € brutos/año</w:t>
            </w:r>
          </w:p>
        </w:tc>
      </w:tr>
      <w:tr w:rsidR="00425683" w:rsidRPr="00425683" w14:paraId="15BBAFBE" w14:textId="77777777" w:rsidTr="00425683">
        <w:tc>
          <w:tcPr>
            <w:tcW w:w="0" w:type="auto"/>
            <w:hideMark/>
          </w:tcPr>
          <w:p w14:paraId="5B8326B3" w14:textId="77777777" w:rsidR="00425683" w:rsidRPr="00425683" w:rsidRDefault="00425683" w:rsidP="00425683">
            <w:pPr>
              <w:spacing w:after="160" w:line="278" w:lineRule="auto"/>
            </w:pPr>
            <w:r w:rsidRPr="00425683">
              <w:rPr>
                <w:b/>
                <w:bCs/>
              </w:rPr>
              <w:t>Personal de Apoyo / Asesoría, Gerencia y Gestión Operativa</w:t>
            </w:r>
          </w:p>
        </w:tc>
        <w:tc>
          <w:tcPr>
            <w:tcW w:w="0" w:type="auto"/>
            <w:hideMark/>
          </w:tcPr>
          <w:p w14:paraId="51709743" w14:textId="77777777" w:rsidR="00425683" w:rsidRPr="00425683" w:rsidRDefault="00425683" w:rsidP="00425683">
            <w:pPr>
              <w:spacing w:after="160" w:line="278" w:lineRule="auto"/>
            </w:pPr>
            <w:r w:rsidRPr="00425683">
              <w:t>Convenio Colectivo Estatal de Estaciones de Servicio (Código 99001995011981)</w:t>
            </w:r>
          </w:p>
        </w:tc>
        <w:tc>
          <w:tcPr>
            <w:tcW w:w="0" w:type="auto"/>
            <w:hideMark/>
          </w:tcPr>
          <w:p w14:paraId="6767D74E" w14:textId="77777777" w:rsidR="00425683" w:rsidRPr="00425683" w:rsidRDefault="00425683" w:rsidP="00425683">
            <w:pPr>
              <w:spacing w:after="160" w:line="278" w:lineRule="auto"/>
            </w:pPr>
            <w:r w:rsidRPr="00425683">
              <w:rPr>
                <w:b/>
                <w:bCs/>
              </w:rPr>
              <w:t>18.000 € – 27.000 € brutos/año</w:t>
            </w:r>
          </w:p>
        </w:tc>
      </w:tr>
    </w:tbl>
    <w:p w14:paraId="5C51CEC8" w14:textId="64F0BE64" w:rsidR="00425683" w:rsidRDefault="00425683" w:rsidP="00425683"/>
    <w:p w14:paraId="6942C6B7" w14:textId="77777777" w:rsidR="00425683" w:rsidRDefault="00425683" w:rsidP="00425683"/>
    <w:p w14:paraId="21D35BC5" w14:textId="77777777" w:rsidR="00425683" w:rsidRDefault="00425683" w:rsidP="00425683"/>
    <w:p w14:paraId="3DF0C92A" w14:textId="77777777" w:rsidR="00425683" w:rsidRDefault="00425683" w:rsidP="00425683"/>
    <w:p w14:paraId="27AABF19" w14:textId="77777777" w:rsidR="00425683" w:rsidRDefault="00425683" w:rsidP="00425683"/>
    <w:p w14:paraId="19E634E9" w14:textId="77777777" w:rsidR="00425683" w:rsidRDefault="00425683" w:rsidP="00425683"/>
    <w:p w14:paraId="26DD03EE" w14:textId="77777777" w:rsidR="00425683" w:rsidRPr="00425683" w:rsidRDefault="00425683" w:rsidP="00425683"/>
    <w:p w14:paraId="4976C8CA" w14:textId="77777777" w:rsidR="00425683" w:rsidRPr="00425683" w:rsidRDefault="00425683" w:rsidP="00425683">
      <w:pPr>
        <w:rPr>
          <w:b/>
          <w:bCs/>
        </w:rPr>
      </w:pPr>
      <w:r w:rsidRPr="00425683">
        <w:rPr>
          <w:b/>
          <w:bCs/>
        </w:rPr>
        <w:lastRenderedPageBreak/>
        <w:t>II. RETRIBUCIONES DEL ÓRGANO DE ADMINISTRACIÓN / GERENCIA</w:t>
      </w:r>
    </w:p>
    <w:tbl>
      <w:tblPr>
        <w:tblStyle w:val="Tablaconcuadrcula"/>
        <w:tblW w:w="0" w:type="auto"/>
        <w:tblLook w:val="04A0" w:firstRow="1" w:lastRow="0" w:firstColumn="1" w:lastColumn="0" w:noHBand="0" w:noVBand="1"/>
      </w:tblPr>
      <w:tblGrid>
        <w:gridCol w:w="2217"/>
        <w:gridCol w:w="1967"/>
        <w:gridCol w:w="4310"/>
      </w:tblGrid>
      <w:tr w:rsidR="00425683" w:rsidRPr="00425683" w14:paraId="38298F7F" w14:textId="77777777" w:rsidTr="00425683">
        <w:tc>
          <w:tcPr>
            <w:tcW w:w="0" w:type="auto"/>
            <w:hideMark/>
          </w:tcPr>
          <w:p w14:paraId="6D01CA11" w14:textId="77777777" w:rsidR="00425683" w:rsidRPr="00425683" w:rsidRDefault="00425683" w:rsidP="00425683">
            <w:pPr>
              <w:spacing w:after="160" w:line="278" w:lineRule="auto"/>
              <w:rPr>
                <w:b/>
                <w:bCs/>
              </w:rPr>
            </w:pPr>
            <w:r w:rsidRPr="00425683">
              <w:rPr>
                <w:b/>
                <w:bCs/>
              </w:rPr>
              <w:t>Puesto / Función (Según Organigrama)</w:t>
            </w:r>
          </w:p>
        </w:tc>
        <w:tc>
          <w:tcPr>
            <w:tcW w:w="0" w:type="auto"/>
            <w:hideMark/>
          </w:tcPr>
          <w:p w14:paraId="78B1E276" w14:textId="77777777" w:rsidR="00425683" w:rsidRPr="00425683" w:rsidRDefault="00425683" w:rsidP="00425683">
            <w:pPr>
              <w:spacing w:after="160" w:line="278" w:lineRule="auto"/>
              <w:rPr>
                <w:b/>
                <w:bCs/>
              </w:rPr>
            </w:pPr>
            <w:r w:rsidRPr="00425683">
              <w:rPr>
                <w:b/>
                <w:bCs/>
              </w:rPr>
              <w:t>Cifra de Retribución Publicada</w:t>
            </w:r>
          </w:p>
        </w:tc>
        <w:tc>
          <w:tcPr>
            <w:tcW w:w="0" w:type="auto"/>
            <w:hideMark/>
          </w:tcPr>
          <w:p w14:paraId="5B49C579" w14:textId="77777777" w:rsidR="00425683" w:rsidRPr="00425683" w:rsidRDefault="00425683" w:rsidP="00425683">
            <w:pPr>
              <w:spacing w:after="160" w:line="278" w:lineRule="auto"/>
              <w:rPr>
                <w:b/>
                <w:bCs/>
              </w:rPr>
            </w:pPr>
            <w:r w:rsidRPr="00425683">
              <w:rPr>
                <w:b/>
                <w:bCs/>
              </w:rPr>
              <w:t>Marco y Justificación (RGPD y Proporcionalidad)</w:t>
            </w:r>
          </w:p>
        </w:tc>
      </w:tr>
      <w:tr w:rsidR="00425683" w:rsidRPr="00425683" w14:paraId="40049E87" w14:textId="77777777" w:rsidTr="00425683">
        <w:tc>
          <w:tcPr>
            <w:tcW w:w="0" w:type="auto"/>
            <w:hideMark/>
          </w:tcPr>
          <w:p w14:paraId="2D72BB20" w14:textId="77777777" w:rsidR="00425683" w:rsidRPr="00425683" w:rsidRDefault="00425683" w:rsidP="00425683">
            <w:pPr>
              <w:spacing w:after="160" w:line="278" w:lineRule="auto"/>
            </w:pPr>
            <w:r w:rsidRPr="00425683">
              <w:rPr>
                <w:b/>
                <w:bCs/>
              </w:rPr>
              <w:t>Administradores Solidarios (4 Miembros)</w:t>
            </w:r>
          </w:p>
        </w:tc>
        <w:tc>
          <w:tcPr>
            <w:tcW w:w="0" w:type="auto"/>
            <w:hideMark/>
          </w:tcPr>
          <w:p w14:paraId="2581991D" w14:textId="77777777" w:rsidR="00425683" w:rsidRPr="00425683" w:rsidRDefault="00425683" w:rsidP="00425683">
            <w:pPr>
              <w:spacing w:after="160" w:line="278" w:lineRule="auto"/>
            </w:pPr>
            <w:r w:rsidRPr="00425683">
              <w:rPr>
                <w:b/>
                <w:bCs/>
              </w:rPr>
              <w:t>No se publica cifra exacta ni media.</w:t>
            </w:r>
          </w:p>
        </w:tc>
        <w:tc>
          <w:tcPr>
            <w:tcW w:w="0" w:type="auto"/>
            <w:hideMark/>
          </w:tcPr>
          <w:p w14:paraId="77DBA2E2" w14:textId="77777777" w:rsidR="00425683" w:rsidRPr="00425683" w:rsidRDefault="00425683" w:rsidP="00425683">
            <w:pPr>
              <w:spacing w:after="160" w:line="278" w:lineRule="auto"/>
            </w:pPr>
            <w:r w:rsidRPr="00425683">
              <w:rPr>
                <w:b/>
                <w:bCs/>
              </w:rPr>
              <w:t>Aplicación directa del RGPD y del principio de proporcionalidad.</w:t>
            </w:r>
            <w:r w:rsidRPr="00425683">
              <w:t xml:space="preserve"> La omisión de la cifra individual o media se justifica porque el Órgano de Administración está compuesto por cuatro miembros de una misma familia en un entorno local, donde la publicación de la cifra concreta podría permitir la identificación personal de los perceptores. Se prioriza la protección de la intimidad (art. 5.1.c y 6.1 RGPD) sobre la publicidad del dato mercantil.</w:t>
            </w:r>
          </w:p>
        </w:tc>
      </w:tr>
      <w:tr w:rsidR="00425683" w:rsidRPr="00425683" w14:paraId="664111B8" w14:textId="77777777" w:rsidTr="00425683">
        <w:tc>
          <w:tcPr>
            <w:tcW w:w="0" w:type="auto"/>
            <w:hideMark/>
          </w:tcPr>
          <w:p w14:paraId="0C428693" w14:textId="77777777" w:rsidR="00425683" w:rsidRPr="00425683" w:rsidRDefault="00425683" w:rsidP="00425683">
            <w:pPr>
              <w:spacing w:after="160" w:line="278" w:lineRule="auto"/>
            </w:pPr>
            <w:r w:rsidRPr="00425683">
              <w:rPr>
                <w:b/>
                <w:bCs/>
              </w:rPr>
              <w:t>Gerencia y Gestión Operativa</w:t>
            </w:r>
          </w:p>
        </w:tc>
        <w:tc>
          <w:tcPr>
            <w:tcW w:w="0" w:type="auto"/>
            <w:hideMark/>
          </w:tcPr>
          <w:p w14:paraId="6F316D99" w14:textId="77777777" w:rsidR="00425683" w:rsidRPr="00425683" w:rsidRDefault="00425683" w:rsidP="00425683">
            <w:pPr>
              <w:spacing w:after="160" w:line="278" w:lineRule="auto"/>
            </w:pPr>
            <w:r w:rsidRPr="00425683">
              <w:rPr>
                <w:b/>
                <w:bCs/>
              </w:rPr>
              <w:t>Retribución estimada dentro del rango de 22.000 € – 27.000 € brutos/año.</w:t>
            </w:r>
          </w:p>
        </w:tc>
        <w:tc>
          <w:tcPr>
            <w:tcW w:w="0" w:type="auto"/>
            <w:hideMark/>
          </w:tcPr>
          <w:p w14:paraId="56466943" w14:textId="77777777" w:rsidR="00425683" w:rsidRPr="00425683" w:rsidRDefault="00425683" w:rsidP="00425683">
            <w:pPr>
              <w:spacing w:after="160" w:line="278" w:lineRule="auto"/>
            </w:pPr>
            <w:r w:rsidRPr="00425683">
              <w:t xml:space="preserve">La remuneración de la gerencia se encuentra incluida en la partida agregada de </w:t>
            </w:r>
            <w:r w:rsidRPr="00425683">
              <w:rPr>
                <w:b/>
                <w:bCs/>
              </w:rPr>
              <w:t>“Gastos de Personal”</w:t>
            </w:r>
            <w:r w:rsidRPr="00425683">
              <w:t xml:space="preserve"> de las Cuentas Anuales depositadas en el Registro Mercantil, respetando el principio de </w:t>
            </w:r>
            <w:proofErr w:type="spellStart"/>
            <w:r w:rsidRPr="00425683">
              <w:t>anonimización</w:t>
            </w:r>
            <w:proofErr w:type="spellEnd"/>
            <w:r w:rsidRPr="00425683">
              <w:t xml:space="preserve"> y transparencia proporcional.</w:t>
            </w:r>
          </w:p>
        </w:tc>
      </w:tr>
    </w:tbl>
    <w:p w14:paraId="6951ACA3" w14:textId="65341197" w:rsidR="00425683" w:rsidRPr="00425683" w:rsidRDefault="00425683" w:rsidP="00425683"/>
    <w:p w14:paraId="7D58DF86" w14:textId="77777777" w:rsidR="00425683" w:rsidRPr="00425683" w:rsidRDefault="00425683" w:rsidP="00425683">
      <w:pPr>
        <w:rPr>
          <w:b/>
          <w:bCs/>
        </w:rPr>
      </w:pPr>
      <w:r w:rsidRPr="00425683">
        <w:rPr>
          <w:b/>
          <w:bCs/>
        </w:rPr>
        <w:t>III. DECLARACIÓN DE CONFORMIDAD (RGPD)</w:t>
      </w:r>
    </w:p>
    <w:p w14:paraId="5584109D" w14:textId="77777777" w:rsidR="00425683" w:rsidRPr="00425683" w:rsidRDefault="00425683" w:rsidP="00425683">
      <w:r w:rsidRPr="00425683">
        <w:rPr>
          <w:b/>
          <w:bCs/>
        </w:rPr>
        <w:t xml:space="preserve">D. Antonio </w:t>
      </w:r>
      <w:proofErr w:type="spellStart"/>
      <w:r w:rsidRPr="00425683">
        <w:rPr>
          <w:b/>
          <w:bCs/>
        </w:rPr>
        <w:t>Arbelo</w:t>
      </w:r>
      <w:proofErr w:type="spellEnd"/>
      <w:r w:rsidRPr="00425683">
        <w:rPr>
          <w:b/>
          <w:bCs/>
        </w:rPr>
        <w:t xml:space="preserve"> González</w:t>
      </w:r>
      <w:r w:rsidRPr="00425683">
        <w:t xml:space="preserve">, en su calidad de </w:t>
      </w:r>
      <w:r w:rsidRPr="00425683">
        <w:rPr>
          <w:b/>
          <w:bCs/>
        </w:rPr>
        <w:t>Administrador Solidario</w:t>
      </w:r>
      <w:r w:rsidRPr="00425683">
        <w:t xml:space="preserve"> de </w:t>
      </w:r>
      <w:r w:rsidRPr="00425683">
        <w:rPr>
          <w:b/>
          <w:bCs/>
        </w:rPr>
        <w:t>ANARGO 2002, S.L.</w:t>
      </w:r>
      <w:r w:rsidRPr="00425683">
        <w:t>,</w:t>
      </w:r>
    </w:p>
    <w:p w14:paraId="467E3778" w14:textId="77777777" w:rsidR="00425683" w:rsidRPr="00425683" w:rsidRDefault="00425683" w:rsidP="00425683">
      <w:r w:rsidRPr="00425683">
        <w:rPr>
          <w:b/>
          <w:bCs/>
        </w:rPr>
        <w:t>CERTIFICA Y DECLARA:</w:t>
      </w:r>
    </w:p>
    <w:p w14:paraId="048AF4F2" w14:textId="77777777" w:rsidR="00EC403A" w:rsidRPr="00EC403A" w:rsidRDefault="00EC403A" w:rsidP="00EC403A">
      <w:pPr>
        <w:numPr>
          <w:ilvl w:val="0"/>
          <w:numId w:val="2"/>
        </w:numPr>
      </w:pPr>
      <w:r w:rsidRPr="00EC403A">
        <w:t>Que las retribuciones del personal y del Órgano de Administración se ajustan a la legalidad vigente, siendo de aplicación el </w:t>
      </w:r>
      <w:r w:rsidRPr="00EC403A">
        <w:rPr>
          <w:b/>
          <w:bCs/>
        </w:rPr>
        <w:t>Convenio Colectivo Estatal de Estaciones de Servicio (código 99001995011981)</w:t>
      </w:r>
      <w:r w:rsidRPr="00EC403A">
        <w:t>.</w:t>
      </w:r>
    </w:p>
    <w:p w14:paraId="61E38835" w14:textId="77777777" w:rsidR="00EC403A" w:rsidRPr="00EC403A" w:rsidRDefault="00EC403A" w:rsidP="00EC403A">
      <w:pPr>
        <w:numPr>
          <w:ilvl w:val="0"/>
          <w:numId w:val="2"/>
        </w:numPr>
      </w:pPr>
      <w:r w:rsidRPr="00EC403A">
        <w:t>Que las percepciones económicas de los Administradores se limitan a las cantidades necesarias para el desarrollo de la actividad empresarial y están debidamente reflejadas en las Cuentas Anuales y documentación fiscal de la sociedad.</w:t>
      </w:r>
    </w:p>
    <w:p w14:paraId="70ED3E1B" w14:textId="77777777" w:rsidR="00EC403A" w:rsidRPr="00EC403A" w:rsidRDefault="00EC403A" w:rsidP="00EC403A">
      <w:pPr>
        <w:numPr>
          <w:ilvl w:val="0"/>
          <w:numId w:val="2"/>
        </w:numPr>
      </w:pPr>
      <w:r w:rsidRPr="00EC403A">
        <w:rPr>
          <w:b/>
          <w:bCs/>
        </w:rPr>
        <w:lastRenderedPageBreak/>
        <w:t>QUE LAS RETRIBUCIONES DEL ÓRGANO DE ADMINISTRACIÓN NO TIENEN NINGUNA APORTACIÓN DE SUBVENCIÓN NI DE DINERO PÚBLICO</w:t>
      </w:r>
      <w:r w:rsidRPr="00EC403A">
        <w:t>. La totalidad de los fondos públicos recibidos por la Sociedad se han destinado a inversiones y gastos de explotación y </w:t>
      </w:r>
      <w:r w:rsidRPr="00EC403A">
        <w:rPr>
          <w:b/>
          <w:bCs/>
        </w:rPr>
        <w:t>NO han sido asignados al gasto de personal o retribuciones de los Administradores</w:t>
      </w:r>
      <w:r w:rsidRPr="00EC403A">
        <w:t>.</w:t>
      </w:r>
    </w:p>
    <w:p w14:paraId="58747E61" w14:textId="77777777" w:rsidR="00EC403A" w:rsidRPr="00EC403A" w:rsidRDefault="00EC403A" w:rsidP="00EC403A">
      <w:pPr>
        <w:numPr>
          <w:ilvl w:val="0"/>
          <w:numId w:val="2"/>
        </w:numPr>
      </w:pPr>
      <w:r w:rsidRPr="00EC403A">
        <w:t>Que la publicación de la información retributiva se realiza de manera </w:t>
      </w:r>
      <w:r w:rsidRPr="00EC403A">
        <w:rPr>
          <w:b/>
          <w:bCs/>
        </w:rPr>
        <w:t>proporcional y anonimizada</w:t>
      </w:r>
      <w:r w:rsidRPr="00EC403A">
        <w:t>, conforme al </w:t>
      </w:r>
      <w:r w:rsidRPr="00EC403A">
        <w:rPr>
          <w:b/>
          <w:bCs/>
        </w:rPr>
        <w:t>RGPD</w:t>
      </w:r>
      <w:r w:rsidRPr="00EC403A">
        <w:t> y al </w:t>
      </w:r>
      <w:r w:rsidRPr="00EC403A">
        <w:rPr>
          <w:b/>
          <w:bCs/>
        </w:rPr>
        <w:t>artículo 18 de la Ley 12/2014</w:t>
      </w:r>
      <w:r w:rsidRPr="00EC403A">
        <w:t>, y se omite la cifra individual de los Administradores para evitar cualquier posibilidad de identificación y vulneración de la intimidad en el contexto de empresa familiar.</w:t>
      </w:r>
    </w:p>
    <w:p w14:paraId="46513DEA" w14:textId="54A1F995" w:rsidR="00425683" w:rsidRPr="00425683" w:rsidRDefault="00425683" w:rsidP="00425683"/>
    <w:p w14:paraId="35C11E0A" w14:textId="44BB3493" w:rsidR="00425683" w:rsidRPr="00425683" w:rsidRDefault="00425683" w:rsidP="00425683">
      <w:r>
        <w:rPr>
          <w:b/>
          <w:bCs/>
        </w:rPr>
        <w:t>En Santa Lucía de Tirajana a 13 de noviembre de 2025</w:t>
      </w:r>
    </w:p>
    <w:p w14:paraId="4CAA2BEA" w14:textId="77777777" w:rsidR="00425683" w:rsidRPr="00425683" w:rsidRDefault="00425683" w:rsidP="00425683">
      <w:r w:rsidRPr="00425683">
        <w:rPr>
          <w:b/>
          <w:bCs/>
        </w:rPr>
        <w:t>Fdo.: D. ANTONIO ARBELO GONZÁLEZ</w:t>
      </w:r>
      <w:r w:rsidRPr="00425683">
        <w:br/>
      </w:r>
      <w:r w:rsidRPr="00425683">
        <w:rPr>
          <w:b/>
          <w:bCs/>
        </w:rPr>
        <w:t>Administrador Solidario</w:t>
      </w:r>
      <w:r w:rsidRPr="00425683">
        <w:br/>
      </w:r>
      <w:r w:rsidRPr="00425683">
        <w:rPr>
          <w:b/>
          <w:bCs/>
        </w:rPr>
        <w:t>ANARGO 2002, S.L.</w:t>
      </w:r>
    </w:p>
    <w:p w14:paraId="0175095A" w14:textId="77777777" w:rsidR="00216A4D" w:rsidRDefault="00216A4D"/>
    <w:sectPr w:rsidR="00216A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67804"/>
    <w:multiLevelType w:val="multilevel"/>
    <w:tmpl w:val="F6747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9C7503"/>
    <w:multiLevelType w:val="multilevel"/>
    <w:tmpl w:val="8FA4F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2770834">
    <w:abstractNumId w:val="0"/>
  </w:num>
  <w:num w:numId="2" w16cid:durableId="2097245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83"/>
    <w:rsid w:val="00064F9F"/>
    <w:rsid w:val="00216A4D"/>
    <w:rsid w:val="00425683"/>
    <w:rsid w:val="005E1CBA"/>
    <w:rsid w:val="00961EEE"/>
    <w:rsid w:val="00BC4A77"/>
    <w:rsid w:val="00C73B34"/>
    <w:rsid w:val="00EC40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8979E"/>
  <w15:chartTrackingRefBased/>
  <w15:docId w15:val="{84960B08-BC26-41ED-9212-AC8E6BFB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25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25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256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256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256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256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256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256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256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568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2568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2568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2568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2568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256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256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256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25683"/>
    <w:rPr>
      <w:rFonts w:eastAsiaTheme="majorEastAsia" w:cstheme="majorBidi"/>
      <w:color w:val="272727" w:themeColor="text1" w:themeTint="D8"/>
    </w:rPr>
  </w:style>
  <w:style w:type="paragraph" w:styleId="Ttulo">
    <w:name w:val="Title"/>
    <w:basedOn w:val="Normal"/>
    <w:next w:val="Normal"/>
    <w:link w:val="TtuloCar"/>
    <w:uiPriority w:val="10"/>
    <w:qFormat/>
    <w:rsid w:val="00425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256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256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256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5683"/>
    <w:pPr>
      <w:spacing w:before="160"/>
      <w:jc w:val="center"/>
    </w:pPr>
    <w:rPr>
      <w:i/>
      <w:iCs/>
      <w:color w:val="404040" w:themeColor="text1" w:themeTint="BF"/>
    </w:rPr>
  </w:style>
  <w:style w:type="character" w:customStyle="1" w:styleId="CitaCar">
    <w:name w:val="Cita Car"/>
    <w:basedOn w:val="Fuentedeprrafopredeter"/>
    <w:link w:val="Cita"/>
    <w:uiPriority w:val="29"/>
    <w:rsid w:val="00425683"/>
    <w:rPr>
      <w:i/>
      <w:iCs/>
      <w:color w:val="404040" w:themeColor="text1" w:themeTint="BF"/>
    </w:rPr>
  </w:style>
  <w:style w:type="paragraph" w:styleId="Prrafodelista">
    <w:name w:val="List Paragraph"/>
    <w:basedOn w:val="Normal"/>
    <w:uiPriority w:val="34"/>
    <w:qFormat/>
    <w:rsid w:val="00425683"/>
    <w:pPr>
      <w:ind w:left="720"/>
      <w:contextualSpacing/>
    </w:pPr>
  </w:style>
  <w:style w:type="character" w:styleId="nfasisintenso">
    <w:name w:val="Intense Emphasis"/>
    <w:basedOn w:val="Fuentedeprrafopredeter"/>
    <w:uiPriority w:val="21"/>
    <w:qFormat/>
    <w:rsid w:val="00425683"/>
    <w:rPr>
      <w:i/>
      <w:iCs/>
      <w:color w:val="0F4761" w:themeColor="accent1" w:themeShade="BF"/>
    </w:rPr>
  </w:style>
  <w:style w:type="paragraph" w:styleId="Citadestacada">
    <w:name w:val="Intense Quote"/>
    <w:basedOn w:val="Normal"/>
    <w:next w:val="Normal"/>
    <w:link w:val="CitadestacadaCar"/>
    <w:uiPriority w:val="30"/>
    <w:qFormat/>
    <w:rsid w:val="00425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25683"/>
    <w:rPr>
      <w:i/>
      <w:iCs/>
      <w:color w:val="0F4761" w:themeColor="accent1" w:themeShade="BF"/>
    </w:rPr>
  </w:style>
  <w:style w:type="character" w:styleId="Referenciaintensa">
    <w:name w:val="Intense Reference"/>
    <w:basedOn w:val="Fuentedeprrafopredeter"/>
    <w:uiPriority w:val="32"/>
    <w:qFormat/>
    <w:rsid w:val="00425683"/>
    <w:rPr>
      <w:b/>
      <w:bCs/>
      <w:smallCaps/>
      <w:color w:val="0F4761" w:themeColor="accent1" w:themeShade="BF"/>
      <w:spacing w:val="5"/>
    </w:rPr>
  </w:style>
  <w:style w:type="table" w:styleId="Tablaconcuadrcula">
    <w:name w:val="Table Grid"/>
    <w:basedOn w:val="Tablanormal"/>
    <w:uiPriority w:val="39"/>
    <w:rsid w:val="00425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535</Words>
  <Characters>3143</Characters>
  <Application>Microsoft Office Word</Application>
  <DocSecurity>0</DocSecurity>
  <Lines>125</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MEDINA</dc:creator>
  <cp:keywords/>
  <dc:description/>
  <cp:lastModifiedBy>ANTONIO MEDINA</cp:lastModifiedBy>
  <cp:revision>3</cp:revision>
  <dcterms:created xsi:type="dcterms:W3CDTF">2025-11-13T09:30:00Z</dcterms:created>
  <dcterms:modified xsi:type="dcterms:W3CDTF">2025-11-19T10:12:00Z</dcterms:modified>
</cp:coreProperties>
</file>